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keepNext w:val="0"/>
        <w:keepLines w:val="0"/>
        <w:rPr>
          <w:rFonts w:ascii="IBM Plex Mono SemiBold" w:cs="IBM Plex Mono SemiBold" w:hAnsi="IBM Plex Mono SemiBold" w:eastAsia="IBM Plex Mono SemiBold"/>
          <w:b w:val="1"/>
          <w:bCs w:val="1"/>
          <w:outline w:val="0"/>
          <w:color w:val="424242"/>
          <w:sz w:val="60"/>
          <w:szCs w:val="60"/>
          <w:u w:color="424242"/>
          <w14:textFill>
            <w14:solidFill>
              <w14:srgbClr w14:val="424242"/>
            </w14:solidFill>
          </w14:textFill>
        </w:rPr>
      </w:pPr>
      <w:bookmarkStart w:name="_lfnnqlbxlyqh" w:id="0"/>
      <w:bookmarkEnd w:id="0"/>
      <w:r>
        <w:rPr>
          <w:rFonts w:ascii="IBM Plex Mono SemiBold" w:cs="IBM Plex Mono SemiBold" w:hAnsi="IBM Plex Mono SemiBold" w:eastAsia="IBM Plex Mono SemiBold"/>
          <w:b w:val="1"/>
          <w:bCs w:val="1"/>
          <w:sz w:val="60"/>
          <w:szCs w:val="60"/>
          <w:rtl w:val="0"/>
          <w:lang w:val="en-US"/>
        </w:rPr>
        <w:t>M</w:t>
      </w:r>
      <w:r>
        <w:rPr>
          <w:rFonts w:ascii="IBM Plex Mono SemiBold" w:cs="IBM Plex Mono SemiBold" w:hAnsi="IBM Plex Mono SemiBold" w:eastAsia="IBM Plex Mono SemiBold"/>
          <w:b w:val="1"/>
          <w:bCs w:val="1"/>
          <w:sz w:val="60"/>
          <w:szCs w:val="60"/>
          <w:rtl w:val="0"/>
          <w:lang w:val="en-US"/>
        </w:rPr>
        <w:t>useums As Progress</w:t>
      </w:r>
    </w:p>
    <w:p>
      <w:pPr>
        <w:pStyle w:val="Body"/>
        <w:spacing w:before="0"/>
        <w:rPr>
          <w:rFonts w:ascii="Roboto Condensed" w:cs="Roboto Condensed" w:hAnsi="Roboto Condensed" w:eastAsia="Roboto Condensed"/>
          <w:outline w:val="0"/>
          <w:color w:val="666666"/>
          <w:u w:color="666666"/>
          <w14:textFill>
            <w14:solidFill>
              <w14:srgbClr w14:val="666666"/>
            </w14:solidFill>
          </w14:textFill>
        </w:rPr>
      </w:pPr>
      <w:r>
        <w:rPr>
          <w:outline w:val="0"/>
          <w:color w:val="424242"/>
          <w:u w:color="424242"/>
          <w14:textFill>
            <w14:solidFill>
              <w14:srgbClr w14:val="424242"/>
            </w14:solidFill>
          </w14:textFill>
        </w:rPr>
        <w:drawing xmlns:a="http://schemas.openxmlformats.org/drawingml/2006/main">
          <wp:inline distT="0" distB="0" distL="0" distR="0">
            <wp:extent cx="5943600" cy="50800"/>
            <wp:effectExtent l="0" t="0" r="0" b="0"/>
            <wp:docPr id="1073741825" name="officeArt object" descr="horizontal line"/>
            <wp:cNvGraphicFramePr/>
            <a:graphic xmlns:a="http://schemas.openxmlformats.org/drawingml/2006/main">
              <a:graphicData uri="http://schemas.openxmlformats.org/drawingml/2006/picture">
                <pic:pic xmlns:pic="http://schemas.openxmlformats.org/drawingml/2006/picture">
                  <pic:nvPicPr>
                    <pic:cNvPr id="1073741825" name="horizontal line" descr="horizontal line"/>
                    <pic:cNvPicPr>
                      <a:picLocks noChangeAspect="1"/>
                    </pic:cNvPicPr>
                  </pic:nvPicPr>
                  <pic:blipFill>
                    <a:blip r:embed="rId4">
                      <a:extLst/>
                    </a:blip>
                    <a:stretch>
                      <a:fillRect/>
                    </a:stretch>
                  </pic:blipFill>
                  <pic:spPr>
                    <a:xfrm>
                      <a:off x="0" y="0"/>
                      <a:ext cx="5943600" cy="50800"/>
                    </a:xfrm>
                    <a:prstGeom prst="rect">
                      <a:avLst/>
                    </a:prstGeom>
                    <a:ln w="12700" cap="flat">
                      <a:noFill/>
                      <a:miter lim="400000"/>
                    </a:ln>
                    <a:effectLst/>
                  </pic:spPr>
                </pic:pic>
              </a:graphicData>
            </a:graphic>
          </wp:inline>
        </w:drawing>
      </w:r>
    </w:p>
    <w:p>
      <w:pPr>
        <w:pStyle w:val="Body"/>
        <w:spacing w:before="480"/>
        <w:rPr>
          <w:rFonts w:ascii="IBM Plex Sans" w:cs="IBM Plex Sans" w:hAnsi="IBM Plex Sans" w:eastAsia="IBM Plex Sans"/>
          <w:outline w:val="0"/>
          <w:color w:val="666666"/>
          <w:u w:color="666666"/>
          <w:shd w:val="clear" w:color="auto" w:fill="ffff00"/>
          <w14:textFill>
            <w14:solidFill>
              <w14:srgbClr w14:val="666666"/>
            </w14:solidFill>
          </w14:textFill>
        </w:rPr>
      </w:pPr>
      <w:r>
        <w:rPr>
          <w:rFonts w:ascii="IBM Plex Sans" w:hAnsi="IBM Plex Sans"/>
          <w:outline w:val="0"/>
          <w:color w:val="e31c60"/>
          <w:u w:color="e31c60"/>
          <w:shd w:val="clear" w:color="auto" w:fill="ffff00"/>
          <w:rtl w:val="0"/>
          <w14:textFill>
            <w14:solidFill>
              <w14:srgbClr w14:val="E31C60"/>
            </w14:solidFill>
          </w14:textFill>
        </w:rPr>
        <w:t>September 04, 20XX</w:t>
      </w:r>
    </w:p>
    <w:p>
      <w:pPr>
        <w:pStyle w:val="Body"/>
        <w:spacing w:before="480" w:line="288" w:lineRule="auto"/>
        <w:rPr>
          <w:rFonts w:ascii="IBM Plex Sans" w:cs="IBM Plex Sans" w:hAnsi="IBM Plex Sans" w:eastAsia="IBM Plex Sans"/>
          <w:outline w:val="0"/>
          <w:color w:val="424242"/>
          <w:sz w:val="32"/>
          <w:szCs w:val="32"/>
          <w:u w:color="424242"/>
          <w14:textFill>
            <w14:solidFill>
              <w14:srgbClr w14:val="424242"/>
            </w14:solidFill>
          </w14:textFill>
        </w:rPr>
      </w:pPr>
      <w:r>
        <w:rPr>
          <w:rFonts w:ascii="IBM Plex Sans" w:hAnsi="IBM Plex Sans"/>
          <w:outline w:val="0"/>
          <w:color w:val="424242"/>
          <w:u w:color="424242"/>
          <w:rtl w:val="0"/>
          <w:lang w:val="en-US"/>
          <w14:textFill>
            <w14:solidFill>
              <w14:srgbClr w14:val="424242"/>
            </w14:solidFill>
          </w14:textFill>
        </w:rPr>
        <w:t xml:space="preserve">Dear </w:t>
      </w:r>
      <w:r>
        <w:rPr>
          <w:rFonts w:ascii="IBM Plex Sans" w:hAnsi="IBM Plex Sans"/>
          <w:shd w:val="clear" w:color="auto" w:fill="ffff00"/>
          <w:rtl w:val="0"/>
          <w:lang w:val="it-IT"/>
        </w:rPr>
        <w:t>Supervisor</w:t>
      </w:r>
      <w:r>
        <w:rPr>
          <w:rFonts w:ascii="IBM Plex Sans" w:hAnsi="IBM Plex Sans" w:hint="default"/>
          <w:shd w:val="clear" w:color="auto" w:fill="ffff00"/>
          <w:rtl w:val="0"/>
          <w:lang w:val="en-US"/>
        </w:rPr>
        <w:t>’</w:t>
      </w:r>
      <w:r>
        <w:rPr>
          <w:rFonts w:ascii="IBM Plex Sans" w:hAnsi="IBM Plex Sans"/>
          <w:shd w:val="clear" w:color="auto" w:fill="ffff00"/>
          <w:rtl w:val="0"/>
          <w:lang w:val="de-DE"/>
        </w:rPr>
        <w:t>s Name</w:t>
      </w:r>
      <w:r>
        <w:rPr>
          <w:rFonts w:ascii="IBM Plex Sans" w:hAnsi="IBM Plex Sans"/>
          <w:outline w:val="0"/>
          <w:color w:val="424242"/>
          <w:u w:color="424242"/>
          <w:rtl w:val="0"/>
          <w14:textFill>
            <w14:solidFill>
              <w14:srgbClr w14:val="424242"/>
            </w14:solidFill>
          </w14:textFill>
        </w:rPr>
        <w:t xml:space="preserve">, </w:t>
      </w:r>
    </w:p>
    <w:p>
      <w:pPr>
        <w:pStyle w:val="Body"/>
        <w:spacing w:line="288" w:lineRule="auto"/>
        <w:rPr>
          <w:rFonts w:ascii="IBM Plex Sans" w:cs="IBM Plex Sans" w:hAnsi="IBM Plex Sans" w:eastAsia="IBM Plex Sans"/>
        </w:rPr>
      </w:pPr>
      <w:r>
        <w:rPr>
          <w:rFonts w:ascii="IBM Plex Sans" w:hAnsi="IBM Plex Sans"/>
          <w:rtl w:val="0"/>
        </w:rPr>
        <w:t>I</w:t>
      </w:r>
      <w:r>
        <w:rPr>
          <w:rFonts w:ascii="IBM Plex Sans" w:hAnsi="IBM Plex Sans" w:hint="default"/>
          <w:rtl w:val="0"/>
          <w:lang w:val="en-US"/>
        </w:rPr>
        <w:t>’</w:t>
      </w:r>
      <w:r>
        <w:rPr>
          <w:rFonts w:ascii="IBM Plex Sans" w:hAnsi="IBM Plex Sans"/>
          <w:rtl w:val="0"/>
          <w:lang w:val="en-US"/>
        </w:rPr>
        <w:t xml:space="preserve">d like your permission to register </w:t>
      </w:r>
      <w:r>
        <w:rPr>
          <w:rFonts w:ascii="IBM Plex Sans" w:hAnsi="IBM Plex Sans"/>
          <w:shd w:val="clear" w:color="auto" w:fill="ffff00"/>
          <w:rtl w:val="0"/>
          <w:lang w:val="en-US"/>
        </w:rPr>
        <w:t>your museum/org</w:t>
      </w:r>
      <w:r>
        <w:rPr>
          <w:rFonts w:ascii="IBM Plex Sans" w:hAnsi="IBM Plex Sans"/>
          <w:rtl w:val="0"/>
          <w:lang w:val="en-US"/>
        </w:rPr>
        <w:t xml:space="preserve"> in the MAP Community</w:t>
      </w:r>
      <w:r>
        <w:rPr>
          <w:rFonts w:ascii="IBM Plex Sans" w:hAnsi="IBM Plex Sans" w:hint="default"/>
          <w:rtl w:val="0"/>
          <w:lang w:val="en-US"/>
        </w:rPr>
        <w:t>’</w:t>
      </w:r>
      <w:r>
        <w:rPr>
          <w:rFonts w:ascii="IBM Plex Sans" w:hAnsi="IBM Plex Sans"/>
          <w:rtl w:val="0"/>
          <w:lang w:val="en-US"/>
        </w:rPr>
        <w:t>s Museum Membership program. The MAP Community is a cross-functional community of practice that facilitates interdepartmental learning experiences. Museum Membership will let any and all of our staff participate in educational workshops, guest events, and reading groups that relate to each employee</w:t>
      </w:r>
      <w:r>
        <w:rPr>
          <w:rFonts w:ascii="IBM Plex Sans" w:hAnsi="IBM Plex Sans" w:hint="default"/>
          <w:rtl w:val="0"/>
          <w:lang w:val="en-US"/>
        </w:rPr>
        <w:t>’</w:t>
      </w:r>
      <w:r>
        <w:rPr>
          <w:rFonts w:ascii="IBM Plex Sans" w:hAnsi="IBM Plex Sans"/>
          <w:rtl w:val="0"/>
        </w:rPr>
        <w:t>s role. We</w:t>
      </w:r>
      <w:r>
        <w:rPr>
          <w:rFonts w:ascii="IBM Plex Sans" w:hAnsi="IBM Plex Sans" w:hint="default"/>
          <w:rtl w:val="0"/>
          <w:lang w:val="en-US"/>
        </w:rPr>
        <w:t>’</w:t>
      </w:r>
      <w:r>
        <w:rPr>
          <w:rFonts w:ascii="IBM Plex Sans" w:hAnsi="IBM Plex Sans"/>
          <w:rtl w:val="0"/>
          <w:lang w:val="en-US"/>
        </w:rPr>
        <w:t>ll be able to network with others in the field, learn from colleagues, and, therefore, bring valuable knowledge home to help further our organization</w:t>
      </w:r>
      <w:r>
        <w:rPr>
          <w:rFonts w:ascii="IBM Plex Sans" w:hAnsi="IBM Plex Sans" w:hint="default"/>
          <w:rtl w:val="0"/>
          <w:lang w:val="en-US"/>
        </w:rPr>
        <w:t>’</w:t>
      </w:r>
      <w:r>
        <w:rPr>
          <w:rFonts w:ascii="IBM Plex Sans" w:hAnsi="IBM Plex Sans"/>
          <w:rtl w:val="0"/>
          <w:lang w:val="pt-PT"/>
        </w:rPr>
        <w:t>s objectives.</w:t>
      </w:r>
    </w:p>
    <w:p>
      <w:pPr>
        <w:pStyle w:val="Body"/>
        <w:spacing w:line="288" w:lineRule="auto"/>
        <w:rPr>
          <w:rFonts w:ascii="IBM Plex Sans" w:cs="IBM Plex Sans" w:hAnsi="IBM Plex Sans" w:eastAsia="IBM Plex Sans"/>
        </w:rPr>
      </w:pPr>
      <w:r>
        <w:rPr>
          <w:rFonts w:ascii="IBM Plex Sans" w:hAnsi="IBM Plex Sans"/>
          <w:rtl w:val="0"/>
          <w:lang w:val="en-US"/>
        </w:rPr>
        <w:t xml:space="preserve">How will this benefit </w:t>
      </w:r>
      <w:r>
        <w:rPr>
          <w:rFonts w:ascii="IBM Plex Sans" w:hAnsi="IBM Plex Sans"/>
          <w:shd w:val="clear" w:color="auto" w:fill="ffff00"/>
          <w:rtl w:val="0"/>
          <w:lang w:val="en-US"/>
        </w:rPr>
        <w:t>your museum/org</w:t>
      </w:r>
      <w:r>
        <w:rPr>
          <w:rFonts w:ascii="IBM Plex Sans" w:hAnsi="IBM Plex Sans"/>
          <w:rtl w:val="0"/>
          <w:lang w:val="zh-TW" w:eastAsia="zh-TW"/>
        </w:rPr>
        <w:t>?</w:t>
      </w:r>
    </w:p>
    <w:p>
      <w:pPr>
        <w:pStyle w:val="Body"/>
        <w:spacing w:line="288" w:lineRule="auto"/>
        <w:rPr>
          <w:rFonts w:ascii="IBM Plex Sans" w:cs="IBM Plex Sans" w:hAnsi="IBM Plex Sans" w:eastAsia="IBM Plex Sans"/>
          <w:shd w:val="clear" w:color="auto" w:fill="ffff00"/>
        </w:rPr>
      </w:pPr>
      <w:r>
        <w:rPr>
          <w:rFonts w:ascii="IBM Plex Sans" w:hAnsi="IBM Plex Sans"/>
          <w:rtl w:val="0"/>
          <w:lang w:val="en-US"/>
        </w:rPr>
        <w:t xml:space="preserve">Allowing colleagues across the nation to connect with one another in this manner brings us knowledge that can assist in tackling some of our own institutional issues. The total expense for this program is: </w:t>
      </w:r>
      <w:r>
        <w:rPr>
          <w:rFonts w:ascii="IBM Plex Sans" w:hAnsi="IBM Plex Sans"/>
          <w:shd w:val="clear" w:color="auto" w:fill="ffff00"/>
          <w:rtl w:val="0"/>
          <w:lang w:val="en-US"/>
        </w:rPr>
        <w:t>$Enter Fee (See sliding scale at: https://museumprogress.com/community/join/museum)</w:t>
      </w:r>
    </w:p>
    <w:p>
      <w:pPr>
        <w:pStyle w:val="Body"/>
        <w:spacing w:line="288" w:lineRule="auto"/>
        <w:rPr>
          <w:rFonts w:ascii="IBM Plex Sans" w:cs="IBM Plex Sans" w:hAnsi="IBM Plex Sans" w:eastAsia="IBM Plex Sans"/>
        </w:rPr>
      </w:pPr>
      <w:r>
        <w:rPr>
          <w:rFonts w:ascii="IBM Plex Sans" w:hAnsi="IBM Plex Sans"/>
          <w:rtl w:val="0"/>
          <w:lang w:val="en-US"/>
        </w:rPr>
        <w:t>Enrollment benefits include</w:t>
      </w:r>
      <w:r>
        <w:rPr>
          <w:rFonts w:ascii="IBM Plex Sans" w:hAnsi="IBM Plex Sans"/>
          <w:rtl w:val="0"/>
        </w:rPr>
        <w:t>:</w:t>
      </w:r>
    </w:p>
    <w:p>
      <w:pPr>
        <w:pStyle w:val="Body"/>
        <w:numPr>
          <w:ilvl w:val="0"/>
          <w:numId w:val="2"/>
        </w:numPr>
        <w:bidi w:val="0"/>
        <w:spacing w:line="288" w:lineRule="auto"/>
        <w:ind w:right="0"/>
        <w:jc w:val="left"/>
        <w:rPr>
          <w:rFonts w:ascii="IBM Plex Sans" w:hAnsi="IBM Plex Sans"/>
          <w:rtl w:val="0"/>
          <w:lang w:val="en-US"/>
        </w:rPr>
      </w:pPr>
      <w:r>
        <w:rPr>
          <w:rFonts w:ascii="IBM Plex Sans" w:hAnsi="IBM Plex Sans"/>
          <w:rtl w:val="0"/>
          <w:lang w:val="en-US"/>
        </w:rPr>
        <w:t>All staff can participate in MAP programs</w:t>
      </w:r>
      <w:r>
        <w:rPr>
          <w:rFonts w:ascii="IBM Plex Sans" w:hAnsi="IBM Plex Sans" w:hint="default"/>
          <w:rtl w:val="0"/>
          <w:lang w:val="en-US"/>
        </w:rPr>
        <w:t>—</w:t>
      </w:r>
      <w:r>
        <w:rPr>
          <w:rFonts w:ascii="IBM Plex Sans" w:hAnsi="IBM Plex Sans"/>
          <w:rtl w:val="0"/>
          <w:lang w:val="en-US"/>
        </w:rPr>
        <w:t>including paid programs like The Membership Innovation Group, Research Office Hours, On-Demand Programming, and MAP Book Club</w:t>
      </w:r>
      <w:r>
        <w:rPr>
          <w:rFonts w:ascii="IBM Plex Sans" w:hAnsi="IBM Plex Sans" w:hint="default"/>
          <w:rtl w:val="0"/>
          <w:lang w:val="en-US"/>
        </w:rPr>
        <w:t>—</w:t>
      </w:r>
      <w:r>
        <w:rPr>
          <w:rFonts w:ascii="IBM Plex Sans" w:hAnsi="IBM Plex Sans"/>
          <w:rtl w:val="0"/>
          <w:lang w:val="en-US"/>
        </w:rPr>
        <w:t>at no cost to them</w:t>
      </w:r>
    </w:p>
    <w:p>
      <w:pPr>
        <w:pStyle w:val="Body"/>
        <w:numPr>
          <w:ilvl w:val="0"/>
          <w:numId w:val="2"/>
        </w:numPr>
        <w:bidi w:val="0"/>
        <w:spacing w:before="0" w:line="288" w:lineRule="auto"/>
        <w:ind w:right="0"/>
        <w:jc w:val="left"/>
        <w:rPr>
          <w:rFonts w:ascii="IBM Plex Sans" w:hAnsi="IBM Plex Sans"/>
          <w:rtl w:val="0"/>
          <w:lang w:val="en-US"/>
        </w:rPr>
      </w:pPr>
      <w:r>
        <w:rPr>
          <w:rFonts w:ascii="IBM Plex Sans" w:hAnsi="IBM Plex Sans"/>
          <w:rtl w:val="0"/>
          <w:lang w:val="en-US"/>
        </w:rPr>
        <w:t xml:space="preserve">Early access to findings from community </w:t>
      </w:r>
      <w:r>
        <w:rPr>
          <w:rFonts w:ascii="IBM Plex Sans" w:hAnsi="IBM Plex Sans"/>
          <w:rtl w:val="0"/>
          <w:lang w:val="en-US"/>
        </w:rPr>
        <w:t>research projects and opportunities to contribute to research projects at no additional cost</w:t>
      </w:r>
    </w:p>
    <w:p>
      <w:pPr>
        <w:pStyle w:val="Body"/>
        <w:numPr>
          <w:ilvl w:val="0"/>
          <w:numId w:val="2"/>
        </w:numPr>
        <w:bidi w:val="0"/>
        <w:spacing w:before="0" w:line="288" w:lineRule="auto"/>
        <w:ind w:right="0"/>
        <w:jc w:val="left"/>
        <w:rPr>
          <w:rFonts w:ascii="IBM Plex Sans" w:hAnsi="IBM Plex Sans"/>
          <w:rtl w:val="0"/>
          <w:lang w:val="en-US"/>
        </w:rPr>
      </w:pPr>
      <w:r>
        <w:rPr>
          <w:rFonts w:ascii="IBM Plex Sans" w:hAnsi="IBM Plex Sans"/>
          <w:rtl w:val="0"/>
          <w:lang w:val="en-US"/>
        </w:rPr>
        <w:t>Free or discounted workshops and courses for all registered staff</w:t>
      </w:r>
      <w:r>
        <w:rPr>
          <w:rFonts w:ascii="IBM Plex Sans" w:hAnsi="IBM Plex Sans"/>
          <w:rtl w:val="0"/>
          <w:lang w:val="en-US"/>
        </w:rPr>
        <w:t xml:space="preserve"> </w:t>
      </w:r>
      <w:r>
        <w:rPr>
          <w:rFonts w:ascii="IBM Plex Sans" w:hAnsi="IBM Plex Sans"/>
          <w:rtl w:val="0"/>
          <w:lang w:val="en-US"/>
        </w:rPr>
        <w:t xml:space="preserve">with guest experts in topics like DEAI, Evaluation, </w:t>
      </w:r>
      <w:r>
        <w:rPr>
          <w:rFonts w:ascii="IBM Plex Sans" w:hAnsi="IBM Plex Sans"/>
          <w:rtl w:val="0"/>
          <w:lang w:val="en-US"/>
        </w:rPr>
        <w:t>Audience</w:t>
      </w:r>
      <w:r>
        <w:rPr>
          <w:rFonts w:ascii="IBM Plex Sans" w:hAnsi="IBM Plex Sans"/>
          <w:rtl w:val="0"/>
          <w:lang w:val="en-US"/>
        </w:rPr>
        <w:t xml:space="preserve"> Research, and Membership/Fundraising</w:t>
      </w:r>
    </w:p>
    <w:p>
      <w:pPr>
        <w:pStyle w:val="Body"/>
        <w:spacing w:line="288" w:lineRule="auto"/>
        <w:rPr>
          <w:rFonts w:ascii="IBM Plex Sans" w:cs="IBM Plex Sans" w:hAnsi="IBM Plex Sans" w:eastAsia="IBM Plex Sans"/>
        </w:rPr>
      </w:pPr>
      <w:r>
        <w:rPr>
          <w:rFonts w:ascii="IBM Plex Sans" w:hAnsi="IBM Plex Sans"/>
          <w:rtl w:val="0"/>
          <w:lang w:val="en-US"/>
        </w:rPr>
        <w:t>At the end of the year, I will prepare an end-of-year summary based on what we learn, including detailed recommendations that further our own institution</w:t>
      </w:r>
      <w:r>
        <w:rPr>
          <w:rFonts w:ascii="IBM Plex Sans" w:hAnsi="IBM Plex Sans" w:hint="default"/>
          <w:rtl w:val="0"/>
          <w:lang w:val="en-US"/>
        </w:rPr>
        <w:t>’</w:t>
      </w:r>
      <w:r>
        <w:rPr>
          <w:rFonts w:ascii="IBM Plex Sans" w:hAnsi="IBM Plex Sans"/>
          <w:rtl w:val="0"/>
        </w:rPr>
        <w:t>s initiatives.</w:t>
      </w:r>
    </w:p>
    <w:p>
      <w:pPr>
        <w:pStyle w:val="Body"/>
        <w:spacing w:line="288" w:lineRule="auto"/>
        <w:rPr>
          <w:rFonts w:ascii="IBM Plex Sans" w:cs="IBM Plex Sans" w:hAnsi="IBM Plex Sans" w:eastAsia="IBM Plex Sans"/>
        </w:rPr>
      </w:pPr>
      <w:r>
        <w:rPr>
          <w:rFonts w:ascii="IBM Plex Sans" w:hAnsi="IBM Plex Sans"/>
          <w:rtl w:val="0"/>
          <w:lang w:val="en-US"/>
        </w:rPr>
        <w:t>Thank you for your consideration.</w:t>
      </w:r>
    </w:p>
    <w:p>
      <w:pPr>
        <w:pStyle w:val="Body"/>
        <w:spacing w:line="288" w:lineRule="auto"/>
      </w:pPr>
      <w:r>
        <w:rPr>
          <w:rFonts w:ascii="IBM Plex Sans" w:hAnsi="IBM Plex Sans"/>
          <w:rtl w:val="0"/>
          <w:lang w:val="en-US"/>
        </w:rPr>
        <w:t>Sincerely,</w:t>
      </w:r>
      <w:r>
        <w:rPr>
          <w:rFonts w:ascii="IBM Plex Sans" w:cs="IBM Plex Sans" w:hAnsi="IBM Plex Sans" w:eastAsia="IBM Plex Sans"/>
        </w:rPr>
        <w:br w:type="textWrapping"/>
      </w:r>
      <w:r>
        <w:rPr>
          <w:rFonts w:ascii="IBM Plex Sans" w:hAnsi="IBM Plex Sans"/>
          <w:shd w:val="clear" w:color="auto" w:fill="ffff00"/>
          <w:rtl w:val="0"/>
          <w:lang w:val="en-US"/>
        </w:rPr>
        <w:t>your name</w:t>
      </w:r>
    </w:p>
    <w:sectPr>
      <w:headerReference w:type="default" r:id="rId5"/>
      <w:footerReference w:type="default" r:id="rId6"/>
      <w:pgSz w:w="12240" w:h="15840" w:orient="portrait"/>
      <w:pgMar w:top="720" w:right="1440" w:bottom="72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Oswald">
    <w:charset w:val="00"/>
    <w:family w:val="roman"/>
    <w:pitch w:val="default"/>
  </w:font>
  <w:font w:name="Source Code Pro">
    <w:charset w:val="00"/>
    <w:family w:val="roman"/>
    <w:pitch w:val="default"/>
  </w:font>
  <w:font w:name="IBM Plex Mono SemiBold">
    <w:charset w:val="00"/>
    <w:family w:val="roman"/>
    <w:pitch w:val="default"/>
  </w:font>
  <w:font w:name="Roboto Condensed">
    <w:charset w:val="00"/>
    <w:family w:val="roman"/>
    <w:pitch w:val="default"/>
  </w:font>
  <w:font w:name="IBM Plex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1"/>
      <w:pageBreakBefore w:val="0"/>
      <w:widowControl w:val="1"/>
      <w:shd w:val="clear" w:color="auto" w:fill="auto"/>
      <w:suppressAutoHyphens w:val="0"/>
      <w:bidi w:val="0"/>
      <w:spacing w:before="200" w:after="0" w:line="240" w:lineRule="auto"/>
      <w:ind w:left="0" w:right="0" w:firstLine="0"/>
      <w:jc w:val="left"/>
      <w:outlineLvl w:val="9"/>
    </w:pPr>
    <w:rPr>
      <w:rFonts w:ascii="Oswald" w:cs="Oswald" w:hAnsi="Oswald" w:eastAsia="Oswald"/>
      <w:b w:val="0"/>
      <w:bCs w:val="0"/>
      <w:i w:val="0"/>
      <w:iCs w:val="0"/>
      <w:caps w:val="0"/>
      <w:smallCaps w:val="0"/>
      <w:strike w:val="0"/>
      <w:dstrike w:val="0"/>
      <w:outline w:val="0"/>
      <w:color w:val="424242"/>
      <w:spacing w:val="0"/>
      <w:kern w:val="0"/>
      <w:position w:val="0"/>
      <w:sz w:val="72"/>
      <w:szCs w:val="72"/>
      <w:u w:val="none" w:color="424242"/>
      <w:shd w:val="nil" w:color="auto" w:fill="auto"/>
      <w:vertAlign w:val="baseline"/>
      <w:lang w:val="en-US"/>
      <w14:textOutline>
        <w14:noFill/>
      </w14:textOutline>
      <w14:textFill>
        <w14:solidFill>
          <w14:srgbClr w14:val="424242"/>
        </w14:solidFill>
      </w14:textFill>
    </w:rPr>
  </w:style>
  <w:style w:type="paragraph" w:styleId="Body">
    <w:name w:val="Body"/>
    <w:next w:val="Body"/>
    <w:pPr>
      <w:keepNext w:val="0"/>
      <w:keepLines w:val="0"/>
      <w:pageBreakBefore w:val="0"/>
      <w:widowControl w:val="1"/>
      <w:shd w:val="clear" w:color="auto" w:fill="auto"/>
      <w:suppressAutoHyphens w:val="0"/>
      <w:bidi w:val="0"/>
      <w:spacing w:before="400" w:after="0" w:line="360" w:lineRule="auto"/>
      <w:ind w:left="0" w:right="0" w:firstLine="0"/>
      <w:jc w:val="left"/>
      <w:outlineLvl w:val="9"/>
    </w:pPr>
    <w:rPr>
      <w:rFonts w:ascii="Source Code Pro" w:cs="Source Code Pro" w:hAnsi="Source Code Pro" w:eastAsia="Source Code Pro"/>
      <w:b w:val="0"/>
      <w:bCs w:val="0"/>
      <w:i w:val="0"/>
      <w:iCs w:val="0"/>
      <w:caps w:val="0"/>
      <w:smallCaps w:val="0"/>
      <w:strike w:val="0"/>
      <w:dstrike w:val="0"/>
      <w:outline w:val="0"/>
      <w:color w:val="424242"/>
      <w:spacing w:val="0"/>
      <w:kern w:val="0"/>
      <w:position w:val="0"/>
      <w:sz w:val="20"/>
      <w:szCs w:val="20"/>
      <w:u w:val="none" w:color="424242"/>
      <w:shd w:val="nil" w:color="auto" w:fill="auto"/>
      <w:vertAlign w:val="baseline"/>
      <w14:textOutline>
        <w14:noFill/>
      </w14:textOutline>
      <w14:textFill>
        <w14:solidFill>
          <w14:srgbClr w14:val="424242"/>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Oswald"/>
        <a:ea typeface="Oswald"/>
        <a:cs typeface="Oswald"/>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