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keepNext w:val="0"/>
        <w:keepLines w:val="0"/>
        <w:rPr>
          <w:rFonts w:ascii="IBM Plex Mono SemiBold" w:cs="IBM Plex Mono SemiBold" w:hAnsi="IBM Plex Mono SemiBold" w:eastAsia="IBM Plex Mono SemiBold"/>
          <w:b w:val="1"/>
          <w:bCs w:val="1"/>
          <w:outline w:val="0"/>
          <w:color w:val="424242"/>
          <w:sz w:val="60"/>
          <w:szCs w:val="60"/>
          <w:u w:color="424242"/>
          <w14:textFill>
            <w14:solidFill>
              <w14:srgbClr w14:val="424242"/>
            </w14:solidFill>
          </w14:textFill>
        </w:rPr>
      </w:pPr>
      <w:bookmarkStart w:name="_lfnnqlbxlyqh" w:id="0"/>
      <w:bookmarkEnd w:id="0"/>
      <w:r>
        <w:rPr>
          <w:rFonts w:ascii="IBM Plex Mono SemiBold" w:cs="IBM Plex Mono SemiBold" w:hAnsi="IBM Plex Mono SemiBold" w:eastAsia="IBM Plex Mono SemiBold"/>
          <w:b w:val="1"/>
          <w:bCs w:val="1"/>
          <w:sz w:val="60"/>
          <w:szCs w:val="60"/>
          <w:rtl w:val="0"/>
          <w:lang w:val="en-US"/>
        </w:rPr>
        <w:t>M</w:t>
      </w:r>
      <w:r>
        <w:rPr>
          <w:rFonts w:ascii="IBM Plex Mono SemiBold" w:cs="IBM Plex Mono SemiBold" w:hAnsi="IBM Plex Mono SemiBold" w:eastAsia="IBM Plex Mono SemiBold"/>
          <w:b w:val="1"/>
          <w:bCs w:val="1"/>
          <w:sz w:val="60"/>
          <w:szCs w:val="60"/>
          <w:rtl w:val="0"/>
          <w:lang w:val="en-US"/>
        </w:rPr>
        <w:t>useums As Progress</w:t>
      </w:r>
    </w:p>
    <w:p>
      <w:pPr>
        <w:pStyle w:val="Body A"/>
        <w:spacing w:before="0"/>
        <w:rPr>
          <w:rFonts w:ascii="Roboto Condensed" w:cs="Roboto Condensed" w:hAnsi="Roboto Condensed" w:eastAsia="Roboto Condensed"/>
          <w:outline w:val="0"/>
          <w:color w:val="666666"/>
          <w:u w:color="666666"/>
          <w14:textFill>
            <w14:solidFill>
              <w14:srgbClr w14:val="666666"/>
            </w14:solidFill>
          </w14:textFill>
        </w:rPr>
      </w:pPr>
      <w:r>
        <w:rPr>
          <w:outline w:val="0"/>
          <w:color w:val="424242"/>
          <w:u w:color="424242"/>
          <w14:textFill>
            <w14:solidFill>
              <w14:srgbClr w14:val="424242"/>
            </w14:solidFill>
          </w14:textFill>
        </w:rPr>
        <w:drawing xmlns:a="http://schemas.openxmlformats.org/drawingml/2006/main">
          <wp:inline distT="0" distB="0" distL="0" distR="0">
            <wp:extent cx="5943600" cy="50800"/>
            <wp:effectExtent l="0" t="0" r="0" b="0"/>
            <wp:docPr id="1073741825" name="officeArt object" descr="horizontal line"/>
            <wp:cNvGraphicFramePr/>
            <a:graphic xmlns:a="http://schemas.openxmlformats.org/drawingml/2006/main">
              <a:graphicData uri="http://schemas.openxmlformats.org/drawingml/2006/picture">
                <pic:pic xmlns:pic="http://schemas.openxmlformats.org/drawingml/2006/picture">
                  <pic:nvPicPr>
                    <pic:cNvPr id="1073741825" name="horizontal line" descr="horizontal line"/>
                    <pic:cNvPicPr>
                      <a:picLocks noChangeAspect="1"/>
                    </pic:cNvPicPr>
                  </pic:nvPicPr>
                  <pic:blipFill>
                    <a:blip r:embed="rId4">
                      <a:extLst/>
                    </a:blip>
                    <a:stretch>
                      <a:fillRect/>
                    </a:stretch>
                  </pic:blipFill>
                  <pic:spPr>
                    <a:xfrm>
                      <a:off x="0" y="0"/>
                      <a:ext cx="5943600" cy="50800"/>
                    </a:xfrm>
                    <a:prstGeom prst="rect">
                      <a:avLst/>
                    </a:prstGeom>
                    <a:ln w="12700" cap="flat">
                      <a:noFill/>
                      <a:miter lim="400000"/>
                    </a:ln>
                    <a:effectLst/>
                  </pic:spPr>
                </pic:pic>
              </a:graphicData>
            </a:graphic>
          </wp:inline>
        </w:drawing>
      </w:r>
    </w:p>
    <w:p>
      <w:pPr>
        <w:pStyle w:val="Body A"/>
        <w:spacing w:before="480"/>
        <w:rPr>
          <w:rFonts w:ascii="IBM Plex Sans" w:cs="IBM Plex Sans" w:hAnsi="IBM Plex Sans" w:eastAsia="IBM Plex Sans"/>
          <w:outline w:val="0"/>
          <w:color w:val="666666"/>
          <w:u w:color="666666"/>
          <w14:textFill>
            <w14:solidFill>
              <w14:srgbClr w14:val="666666"/>
            </w14:solidFill>
          </w14:textFill>
        </w:rPr>
      </w:pPr>
      <w:r>
        <w:rPr>
          <w:rFonts w:ascii="IBM Plex Sans" w:hAnsi="IBM Plex Sans"/>
          <w:outline w:val="0"/>
          <w:color w:val="e31c60"/>
          <w:u w:color="e31c60"/>
          <w:shd w:val="clear" w:color="auto" w:fill="ffff00"/>
          <w:rtl w:val="0"/>
          <w14:textFill>
            <w14:solidFill>
              <w14:srgbClr w14:val="E31C60"/>
            </w14:solidFill>
          </w14:textFill>
        </w:rPr>
        <w:t>September 04, 20XX</w:t>
      </w:r>
    </w:p>
    <w:p>
      <w:pPr>
        <w:pStyle w:val="Body A"/>
        <w:spacing w:before="200" w:line="331" w:lineRule="auto"/>
        <w:rPr>
          <w:rFonts w:ascii="IBM Plex Sans" w:cs="IBM Plex Sans" w:hAnsi="IBM Plex Sans" w:eastAsia="IBM Plex Sans"/>
        </w:rPr>
      </w:pPr>
      <w:r>
        <w:rPr>
          <w:rFonts w:ascii="IBM Plex Sans" w:hAnsi="IBM Plex Sans"/>
          <w:rtl w:val="0"/>
          <w:lang w:val="en-US"/>
        </w:rPr>
        <w:t xml:space="preserve">Dear </w:t>
      </w:r>
      <w:r>
        <w:rPr>
          <w:rFonts w:ascii="IBM Plex Sans" w:hAnsi="IBM Plex Sans"/>
          <w:shd w:val="clear" w:color="auto" w:fill="ffff00"/>
          <w:rtl w:val="0"/>
          <w:lang w:val="it-IT"/>
        </w:rPr>
        <w:t>Supervisor</w:t>
      </w:r>
      <w:r>
        <w:rPr>
          <w:rFonts w:ascii="IBM Plex Sans" w:hAnsi="IBM Plex Sans" w:hint="default"/>
          <w:shd w:val="clear" w:color="auto" w:fill="ffff00"/>
          <w:rtl w:val="0"/>
          <w:lang w:val="en-US"/>
        </w:rPr>
        <w:t>’</w:t>
      </w:r>
      <w:r>
        <w:rPr>
          <w:rFonts w:ascii="IBM Plex Sans" w:hAnsi="IBM Plex Sans"/>
          <w:shd w:val="clear" w:color="auto" w:fill="ffff00"/>
          <w:rtl w:val="0"/>
          <w:lang w:val="de-DE"/>
        </w:rPr>
        <w:t>s Name</w:t>
      </w:r>
      <w:r>
        <w:rPr>
          <w:rFonts w:ascii="IBM Plex Sans" w:hAnsi="IBM Plex Sans"/>
          <w:rtl w:val="0"/>
        </w:rPr>
        <w:t>,</w:t>
      </w:r>
    </w:p>
    <w:p>
      <w:pPr>
        <w:pStyle w:val="Body A"/>
        <w:spacing w:before="200" w:line="331" w:lineRule="auto"/>
        <w:rPr>
          <w:rFonts w:ascii="IBM Plex Sans" w:cs="IBM Plex Sans" w:hAnsi="IBM Plex Sans" w:eastAsia="IBM Plex Sans"/>
        </w:rPr>
      </w:pPr>
      <w:r>
        <w:rPr>
          <w:rFonts w:ascii="IBM Plex Sans" w:hAnsi="IBM Plex Sans"/>
          <w:rtl w:val="0"/>
        </w:rPr>
        <w:t>I</w:t>
      </w:r>
      <w:r>
        <w:rPr>
          <w:rFonts w:ascii="IBM Plex Sans" w:hAnsi="IBM Plex Sans" w:hint="default"/>
          <w:rtl w:val="0"/>
          <w:lang w:val="en-US"/>
        </w:rPr>
        <w:t>’</w:t>
      </w:r>
      <w:r>
        <w:rPr>
          <w:rFonts w:ascii="IBM Plex Sans" w:hAnsi="IBM Plex Sans"/>
          <w:rtl w:val="0"/>
          <w:lang w:val="en-US"/>
        </w:rPr>
        <w:t>d like your permission to join the Museums As Progress (MAP) Community</w:t>
      </w:r>
      <w:r>
        <w:rPr>
          <w:rFonts w:ascii="IBM Plex Sans" w:hAnsi="IBM Plex Sans" w:hint="default"/>
          <w:rtl w:val="0"/>
          <w:lang w:val="en-US"/>
        </w:rPr>
        <w:t>’</w:t>
      </w:r>
      <w:r>
        <w:rPr>
          <w:rFonts w:ascii="IBM Plex Sans" w:hAnsi="IBM Plex Sans"/>
          <w:rtl w:val="0"/>
          <w:lang w:val="en-US"/>
        </w:rPr>
        <w:t xml:space="preserve">s </w:t>
      </w:r>
      <w:r>
        <w:rPr>
          <w:rFonts w:ascii="IBM Plex Sans" w:hAnsi="IBM Plex Sans"/>
          <w:rtl w:val="0"/>
          <w:lang w:val="en-US"/>
        </w:rPr>
        <w:t xml:space="preserve">Research Office Hours </w:t>
      </w:r>
      <w:r>
        <w:rPr>
          <w:rFonts w:ascii="IBM Plex Sans" w:hAnsi="IBM Plex Sans"/>
          <w:rtl w:val="0"/>
          <w:lang w:val="en-US"/>
        </w:rPr>
        <w:t>Group. As a group member, I</w:t>
      </w:r>
      <w:r>
        <w:rPr>
          <w:rFonts w:ascii="IBM Plex Sans" w:hAnsi="IBM Plex Sans" w:hint="default"/>
          <w:rtl w:val="0"/>
          <w:lang w:val="en-US"/>
        </w:rPr>
        <w:t>’</w:t>
      </w:r>
      <w:r>
        <w:rPr>
          <w:rFonts w:ascii="IBM Plex Sans" w:hAnsi="IBM Plex Sans"/>
          <w:rtl w:val="0"/>
          <w:lang w:val="en-US"/>
        </w:rPr>
        <w:t>ll be able to participate in special guest events and discussions that are directly applicable to my position. Enrollment will also allow me to network with others in the field, learn from colleagues, and, therefore, bring valuable knowledge home to help grow and support our further our organization</w:t>
      </w:r>
      <w:r>
        <w:rPr>
          <w:rFonts w:ascii="IBM Plex Sans" w:hAnsi="IBM Plex Sans" w:hint="default"/>
          <w:rtl w:val="0"/>
          <w:lang w:val="en-US"/>
        </w:rPr>
        <w:t>’</w:t>
      </w:r>
      <w:r>
        <w:rPr>
          <w:rFonts w:ascii="IBM Plex Sans" w:hAnsi="IBM Plex Sans"/>
          <w:rtl w:val="0"/>
          <w:lang w:val="en-US"/>
        </w:rPr>
        <w:t xml:space="preserve">s </w:t>
      </w:r>
      <w:r>
        <w:rPr>
          <w:rFonts w:ascii="IBM Plex Sans" w:hAnsi="IBM Plex Sans"/>
          <w:rtl w:val="0"/>
          <w:lang w:val="en-US"/>
        </w:rPr>
        <w:t>learning initiatives</w:t>
      </w:r>
      <w:r>
        <w:rPr>
          <w:rFonts w:ascii="IBM Plex Sans" w:hAnsi="IBM Plex Sans"/>
          <w:rtl w:val="0"/>
          <w:lang w:val="en-US"/>
        </w:rPr>
        <w:t>.</w:t>
      </w:r>
    </w:p>
    <w:p>
      <w:pPr>
        <w:pStyle w:val="Body A"/>
        <w:spacing w:before="200" w:line="331" w:lineRule="auto"/>
        <w:rPr>
          <w:rFonts w:ascii="IBM Plex Sans" w:cs="IBM Plex Sans" w:hAnsi="IBM Plex Sans" w:eastAsia="IBM Plex Sans"/>
        </w:rPr>
      </w:pPr>
      <w:r>
        <w:rPr>
          <w:rFonts w:ascii="IBM Plex Sans" w:hAnsi="IBM Plex Sans"/>
          <w:rtl w:val="0"/>
          <w:lang w:val="en-US"/>
        </w:rPr>
        <w:t xml:space="preserve">How will this benefit </w:t>
      </w:r>
      <w:r>
        <w:rPr>
          <w:rFonts w:ascii="IBM Plex Sans" w:hAnsi="IBM Plex Sans"/>
          <w:shd w:val="clear" w:color="auto" w:fill="ffff00"/>
          <w:rtl w:val="0"/>
          <w:lang w:val="en-US"/>
        </w:rPr>
        <w:t>your museum/org</w:t>
      </w:r>
      <w:r>
        <w:rPr>
          <w:rFonts w:ascii="IBM Plex Sans" w:hAnsi="IBM Plex Sans"/>
          <w:rtl w:val="0"/>
          <w:lang w:val="zh-TW" w:eastAsia="zh-TW"/>
        </w:rPr>
        <w:t>?</w:t>
      </w:r>
    </w:p>
    <w:p>
      <w:pPr>
        <w:pStyle w:val="Body A"/>
        <w:spacing w:before="200" w:line="331" w:lineRule="auto"/>
        <w:rPr>
          <w:rFonts w:ascii="IBM Plex Sans" w:cs="IBM Plex Sans" w:hAnsi="IBM Plex Sans" w:eastAsia="IBM Plex Sans"/>
        </w:rPr>
      </w:pPr>
      <w:r>
        <w:rPr>
          <w:rFonts w:ascii="IBM Plex Sans" w:hAnsi="IBM Plex Sans"/>
          <w:rtl w:val="0"/>
          <w:lang w:val="en-US"/>
        </w:rPr>
        <w:t>Allowing colleagues across the nation to connect with one another in this manner brings us knowledge that can assist in tackling some of our own institutional issues. The fee is $</w:t>
      </w:r>
      <w:r>
        <w:rPr>
          <w:rFonts w:ascii="IBM Plex Sans" w:hAnsi="IBM Plex Sans"/>
          <w:rtl w:val="0"/>
          <w:lang w:val="en-US"/>
        </w:rPr>
        <w:t>39</w:t>
      </w:r>
      <w:r>
        <w:rPr>
          <w:rFonts w:ascii="IBM Plex Sans" w:hAnsi="IBM Plex Sans"/>
          <w:rtl w:val="0"/>
          <w:lang w:val="en-US"/>
        </w:rPr>
        <w:t xml:space="preserve"> per year.</w:t>
      </w:r>
    </w:p>
    <w:p>
      <w:pPr>
        <w:pStyle w:val="Body A"/>
        <w:spacing w:before="200" w:line="331" w:lineRule="auto"/>
        <w:rPr>
          <w:rFonts w:ascii="IBM Plex Sans" w:cs="IBM Plex Sans" w:hAnsi="IBM Plex Sans" w:eastAsia="IBM Plex Sans"/>
        </w:rPr>
      </w:pPr>
      <w:r>
        <w:rPr>
          <w:rFonts w:ascii="IBM Plex Sans" w:hAnsi="IBM Plex Sans"/>
          <w:rtl w:val="0"/>
          <w:lang w:val="en-US"/>
        </w:rPr>
        <w:t>This fee includes:</w:t>
      </w:r>
    </w:p>
    <w:p>
      <w:pPr>
        <w:pStyle w:val="Body A"/>
        <w:numPr>
          <w:ilvl w:val="0"/>
          <w:numId w:val="2"/>
        </w:numPr>
        <w:bidi w:val="0"/>
        <w:spacing w:before="0" w:line="331" w:lineRule="auto"/>
        <w:ind w:right="0"/>
        <w:jc w:val="left"/>
        <w:rPr>
          <w:rFonts w:ascii="IBM Plex Sans" w:hAnsi="IBM Plex Sans"/>
          <w:rtl w:val="0"/>
          <w:lang w:val="en-US"/>
        </w:rPr>
      </w:pPr>
      <w:r>
        <w:rPr>
          <w:rFonts w:ascii="IBM Plex Sans" w:hAnsi="IBM Plex Sans"/>
          <w:rtl w:val="0"/>
          <w:lang w:val="en-US"/>
        </w:rPr>
        <w:t>Participation in live discussions with guest speakers who share insights into topics and methodologies like Developing Better Surveys, Reflective Evaluation, and Visitor Heat Mapping</w:t>
      </w:r>
    </w:p>
    <w:p>
      <w:pPr>
        <w:pStyle w:val="Body A"/>
        <w:numPr>
          <w:ilvl w:val="0"/>
          <w:numId w:val="2"/>
        </w:numPr>
        <w:bidi w:val="0"/>
        <w:spacing w:before="0" w:line="331" w:lineRule="auto"/>
        <w:ind w:right="0"/>
        <w:jc w:val="left"/>
        <w:rPr>
          <w:rFonts w:ascii="IBM Plex Sans" w:hAnsi="IBM Plex Sans"/>
          <w:rtl w:val="0"/>
          <w:lang w:val="en-US"/>
        </w:rPr>
      </w:pPr>
      <w:r>
        <w:rPr>
          <w:rFonts w:ascii="IBM Plex Sans" w:hAnsi="IBM Plex Sans"/>
          <w:rtl w:val="0"/>
          <w:lang w:val="en-US"/>
        </w:rPr>
        <w:t>Guidance on research best practices</w:t>
      </w:r>
    </w:p>
    <w:p>
      <w:pPr>
        <w:pStyle w:val="Body A"/>
        <w:numPr>
          <w:ilvl w:val="0"/>
          <w:numId w:val="2"/>
        </w:numPr>
        <w:bidi w:val="0"/>
        <w:spacing w:before="0" w:line="331" w:lineRule="auto"/>
        <w:ind w:right="0"/>
        <w:jc w:val="left"/>
        <w:rPr>
          <w:rFonts w:ascii="IBM Plex Sans" w:hAnsi="IBM Plex Sans"/>
          <w:rtl w:val="0"/>
          <w:lang w:val="en-US"/>
        </w:rPr>
      </w:pPr>
      <w:r>
        <w:rPr>
          <w:rFonts w:ascii="IBM Plex Sans" w:hAnsi="IBM Plex Sans"/>
          <w:rtl w:val="0"/>
          <w:lang w:val="en-US"/>
        </w:rPr>
        <w:t>Ability to bring our specific questions and challenges to experts, including Rosie Siemer, CEO of FIVESEED</w:t>
      </w:r>
      <w:r>
        <w:rPr>
          <w:rFonts w:ascii="IBM Plex Sans" w:hAnsi="IBM Plex Sans"/>
          <w:rtl w:val="0"/>
          <w:lang w:val="en-US"/>
        </w:rPr>
        <w:t>,</w:t>
      </w:r>
      <w:r>
        <w:rPr>
          <w:rFonts w:ascii="IBM Plex Sans" w:hAnsi="IBM Plex Sans"/>
          <w:rtl w:val="0"/>
          <w:lang w:val="en-US"/>
        </w:rPr>
        <w:t xml:space="preserve"> and Kyle Bowen, Founder of Museums As Progress.</w:t>
      </w:r>
    </w:p>
    <w:p>
      <w:pPr>
        <w:pStyle w:val="Body A"/>
        <w:spacing w:before="200" w:line="331" w:lineRule="auto"/>
        <w:rPr>
          <w:rFonts w:ascii="IBM Plex Sans" w:cs="IBM Plex Sans" w:hAnsi="IBM Plex Sans" w:eastAsia="IBM Plex Sans"/>
        </w:rPr>
      </w:pPr>
      <w:r>
        <w:rPr>
          <w:rFonts w:ascii="IBM Plex Sans" w:hAnsi="IBM Plex Sans"/>
          <w:rtl w:val="0"/>
          <w:lang w:val="en-US"/>
        </w:rPr>
        <w:t>At the end of the year, I will prepare an end-of-year summary based on what I learn in the program, including detailed recommendations that further our own institution</w:t>
      </w:r>
      <w:r>
        <w:rPr>
          <w:rFonts w:ascii="IBM Plex Sans" w:hAnsi="IBM Plex Sans" w:hint="default"/>
          <w:rtl w:val="0"/>
          <w:lang w:val="en-US"/>
        </w:rPr>
        <w:t>’</w:t>
      </w:r>
      <w:r>
        <w:rPr>
          <w:rFonts w:ascii="IBM Plex Sans" w:hAnsi="IBM Plex Sans"/>
          <w:rtl w:val="0"/>
        </w:rPr>
        <w:t>s initiatives.</w:t>
      </w:r>
    </w:p>
    <w:p>
      <w:pPr>
        <w:pStyle w:val="Body A"/>
        <w:spacing w:before="200" w:line="331" w:lineRule="auto"/>
        <w:rPr>
          <w:rFonts w:ascii="IBM Plex Sans" w:cs="IBM Plex Sans" w:hAnsi="IBM Plex Sans" w:eastAsia="IBM Plex Sans"/>
        </w:rPr>
      </w:pPr>
      <w:r>
        <w:rPr>
          <w:rFonts w:ascii="IBM Plex Sans" w:hAnsi="IBM Plex Sans"/>
          <w:rtl w:val="0"/>
          <w:lang w:val="en-US"/>
        </w:rPr>
        <w:t>Thank you for your consideration.</w:t>
      </w:r>
    </w:p>
    <w:p>
      <w:pPr>
        <w:pStyle w:val="Body A"/>
        <w:spacing w:before="200" w:line="331" w:lineRule="auto"/>
        <w:rPr>
          <w:rFonts w:ascii="IBM Plex Sans" w:cs="IBM Plex Sans" w:hAnsi="IBM Plex Sans" w:eastAsia="IBM Plex Sans"/>
        </w:rPr>
      </w:pPr>
      <w:r>
        <w:rPr>
          <w:rFonts w:ascii="IBM Plex Sans" w:hAnsi="IBM Plex Sans"/>
          <w:rtl w:val="0"/>
          <w:lang w:val="en-US"/>
        </w:rPr>
        <w:t>Sincerely,</w:t>
      </w:r>
    </w:p>
    <w:p>
      <w:pPr>
        <w:pStyle w:val="Body A"/>
        <w:spacing w:before="200" w:line="331" w:lineRule="auto"/>
      </w:pPr>
      <w:r>
        <w:rPr>
          <w:rFonts w:ascii="IBM Plex Sans" w:hAnsi="IBM Plex Sans"/>
          <w:shd w:val="clear" w:color="auto" w:fill="ffff00"/>
          <w:rtl w:val="0"/>
          <w:lang w:val="en-US"/>
        </w:rPr>
        <w:t>your name</w:t>
      </w:r>
      <w:r>
        <w:rPr>
          <w:rFonts w:ascii="IBM Plex Sans" w:cs="IBM Plex Sans" w:hAnsi="IBM Plex Sans" w:eastAsia="IBM Plex Sans"/>
        </w:rPr>
      </w:r>
    </w:p>
    <w:sectPr>
      <w:headerReference w:type="default" r:id="rId5"/>
      <w:footerReference w:type="default" r:id="rId6"/>
      <w:pgSz w:w="12240" w:h="15840" w:orient="portrait"/>
      <w:pgMar w:top="720" w:right="1440" w:bottom="72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swald">
    <w:charset w:val="00"/>
    <w:family w:val="roman"/>
    <w:pitch w:val="default"/>
  </w:font>
  <w:font w:name="Source Code Pro">
    <w:charset w:val="00"/>
    <w:family w:val="roman"/>
    <w:pitch w:val="default"/>
  </w:font>
  <w:font w:name="IBM Plex Mono SemiBold">
    <w:charset w:val="00"/>
    <w:family w:val="roman"/>
    <w:pitch w:val="default"/>
  </w:font>
  <w:font w:name="Roboto Condensed">
    <w:charset w:val="00"/>
    <w:family w:val="roman"/>
    <w:pitch w:val="default"/>
  </w:font>
  <w:font w:name="IBM Plex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A"/>
    <w:pPr>
      <w:keepNext w:val="1"/>
      <w:keepLines w:val="1"/>
      <w:pageBreakBefore w:val="0"/>
      <w:widowControl w:val="1"/>
      <w:shd w:val="clear" w:color="auto" w:fill="auto"/>
      <w:suppressAutoHyphens w:val="0"/>
      <w:bidi w:val="0"/>
      <w:spacing w:before="200" w:after="0" w:line="240" w:lineRule="auto"/>
      <w:ind w:left="0" w:right="0" w:firstLine="0"/>
      <w:jc w:val="left"/>
      <w:outlineLvl w:val="9"/>
    </w:pPr>
    <w:rPr>
      <w:rFonts w:ascii="Oswald" w:cs="Oswald" w:hAnsi="Oswald" w:eastAsia="Oswald"/>
      <w:b w:val="0"/>
      <w:bCs w:val="0"/>
      <w:i w:val="0"/>
      <w:iCs w:val="0"/>
      <w:caps w:val="0"/>
      <w:smallCaps w:val="0"/>
      <w:strike w:val="0"/>
      <w:dstrike w:val="0"/>
      <w:outline w:val="0"/>
      <w:color w:val="424242"/>
      <w:spacing w:val="0"/>
      <w:kern w:val="0"/>
      <w:position w:val="0"/>
      <w:sz w:val="72"/>
      <w:szCs w:val="72"/>
      <w:u w:val="none" w:color="424242"/>
      <w:shd w:val="nil" w:color="auto" w:fill="auto"/>
      <w:vertAlign w:val="baseline"/>
      <w:lang w:val="en-US"/>
      <w14:textOutline w14:w="12700" w14:cap="flat">
        <w14:noFill/>
        <w14:miter w14:lim="400000"/>
      </w14:textOutline>
      <w14:textFill>
        <w14:solidFill>
          <w14:srgbClr w14:val="424242"/>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400" w:after="0" w:line="360" w:lineRule="auto"/>
      <w:ind w:left="0" w:right="0" w:firstLine="0"/>
      <w:jc w:val="left"/>
      <w:outlineLvl w:val="9"/>
    </w:pPr>
    <w:rPr>
      <w:rFonts w:ascii="Source Code Pro" w:cs="Source Code Pro" w:hAnsi="Source Code Pro" w:eastAsia="Source Code Pro"/>
      <w:b w:val="0"/>
      <w:bCs w:val="0"/>
      <w:i w:val="0"/>
      <w:iCs w:val="0"/>
      <w:caps w:val="0"/>
      <w:smallCaps w:val="0"/>
      <w:strike w:val="0"/>
      <w:dstrike w:val="0"/>
      <w:outline w:val="0"/>
      <w:color w:val="424242"/>
      <w:spacing w:val="0"/>
      <w:kern w:val="0"/>
      <w:position w:val="0"/>
      <w:sz w:val="20"/>
      <w:szCs w:val="20"/>
      <w:u w:val="none" w:color="424242"/>
      <w:shd w:val="nil" w:color="auto" w:fill="auto"/>
      <w:vertAlign w:val="baseline"/>
      <w14:textOutline w14:w="12700" w14:cap="flat">
        <w14:noFill/>
        <w14:miter w14:lim="400000"/>
      </w14:textOutline>
      <w14:textFill>
        <w14:solidFill>
          <w14:srgbClr w14:val="424242"/>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Oswald"/>
        <a:ea typeface="Oswald"/>
        <a:cs typeface="Oswald"/>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